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427BB" w14:textId="06C8414E" w:rsidR="00897A3A" w:rsidRPr="006C666F" w:rsidRDefault="006C666F">
      <w:pPr>
        <w:rPr>
          <w:b/>
          <w:bCs/>
        </w:rPr>
      </w:pPr>
      <w:r w:rsidRPr="006C666F">
        <w:rPr>
          <w:b/>
          <w:bCs/>
        </w:rPr>
        <w:t xml:space="preserve">MERGER OPTIONS </w:t>
      </w:r>
      <w:r w:rsidR="00897A3A" w:rsidRPr="006C666F">
        <w:rPr>
          <w:b/>
          <w:bCs/>
        </w:rPr>
        <w:t>ANALYSIS SUMMARY</w:t>
      </w:r>
    </w:p>
    <w:p w14:paraId="6F53A80B" w14:textId="428C37BC" w:rsidR="00897A3A" w:rsidRPr="006C666F" w:rsidRDefault="006C666F">
      <w:pPr>
        <w:rPr>
          <w:i/>
          <w:iCs/>
        </w:rPr>
      </w:pPr>
      <w:r w:rsidRPr="006C666F">
        <w:rPr>
          <w:i/>
          <w:iCs/>
        </w:rPr>
        <w:t xml:space="preserve">The following is a summary of analysis of options undertaken by Rotorua Lakes Council, which was presented </w:t>
      </w:r>
      <w:r>
        <w:rPr>
          <w:i/>
          <w:iCs/>
        </w:rPr>
        <w:t xml:space="preserve">to Council for decision on 29 July 2026 </w:t>
      </w:r>
      <w:r w:rsidRPr="006C666F">
        <w:rPr>
          <w:i/>
          <w:iCs/>
        </w:rPr>
        <w:t>by Group Manager Organisational Performance and Innovation, Sam Fellows:</w:t>
      </w:r>
    </w:p>
    <w:p w14:paraId="52B77EDF" w14:textId="58C2B6ED" w:rsidR="00202523" w:rsidRDefault="006C666F" w:rsidP="00202523">
      <w:pPr>
        <w:jc w:val="both"/>
      </w:pPr>
      <w:r>
        <w:t>The decision before Council was</w:t>
      </w:r>
      <w:r w:rsidR="00202523">
        <w:t xml:space="preserve"> </w:t>
      </w:r>
      <w:r w:rsidR="00202523" w:rsidRPr="00B704F9">
        <w:t xml:space="preserve">whether Rotorua Lakes Council should submit an </w:t>
      </w:r>
      <w:r w:rsidR="00202523" w:rsidRPr="00164041">
        <w:t>outline proposal</w:t>
      </w:r>
      <w:r w:rsidR="00202523" w:rsidRPr="00B704F9">
        <w:t xml:space="preserve"> under the Government’s Head Start pathway and if so, what position </w:t>
      </w:r>
      <w:r w:rsidR="00202523">
        <w:t>it would</w:t>
      </w:r>
      <w:r w:rsidR="00202523" w:rsidRPr="00B704F9">
        <w:t xml:space="preserve"> put forward. </w:t>
      </w:r>
    </w:p>
    <w:p w14:paraId="67D98CE8" w14:textId="4C6BB8B7" w:rsidR="00897A3A" w:rsidRPr="00897A3A" w:rsidRDefault="00897A3A" w:rsidP="00897A3A">
      <w:pPr>
        <w:jc w:val="both"/>
      </w:pPr>
      <w:r w:rsidRPr="00897A3A">
        <w:t xml:space="preserve">As a result of other councils’ </w:t>
      </w:r>
      <w:proofErr w:type="gramStart"/>
      <w:r w:rsidRPr="00897A3A">
        <w:t>decisions</w:t>
      </w:r>
      <w:proofErr w:type="gramEnd"/>
      <w:r w:rsidRPr="00897A3A">
        <w:t xml:space="preserve"> t</w:t>
      </w:r>
      <w:r w:rsidRPr="00897A3A">
        <w:t xml:space="preserve">he </w:t>
      </w:r>
      <w:r w:rsidR="006C666F">
        <w:t xml:space="preserve">options put to </w:t>
      </w:r>
      <w:r w:rsidRPr="00897A3A">
        <w:t>Council</w:t>
      </w:r>
      <w:r w:rsidR="006C666F">
        <w:t xml:space="preserve"> for decision on 29 July</w:t>
      </w:r>
      <w:r w:rsidRPr="00897A3A">
        <w:t xml:space="preserve"> changed from the recommendation </w:t>
      </w:r>
      <w:r w:rsidR="00202523">
        <w:t>featured</w:t>
      </w:r>
      <w:r w:rsidRPr="00897A3A">
        <w:t xml:space="preserve"> in the </w:t>
      </w:r>
      <w:r w:rsidRPr="00897A3A">
        <w:t xml:space="preserve">agenda </w:t>
      </w:r>
      <w:r w:rsidRPr="00897A3A">
        <w:t>report</w:t>
      </w:r>
      <w:r w:rsidR="006C666F">
        <w:t xml:space="preserve"> which was based on six options that were initially considered.</w:t>
      </w:r>
    </w:p>
    <w:p w14:paraId="62790487" w14:textId="375719CB" w:rsidR="00897A3A" w:rsidRPr="00B704F9" w:rsidRDefault="00897A3A" w:rsidP="00897A3A">
      <w:pPr>
        <w:jc w:val="both"/>
      </w:pPr>
      <w:r>
        <w:t>The</w:t>
      </w:r>
      <w:r w:rsidRPr="00B704F9">
        <w:t xml:space="preserve"> updated resolution present</w:t>
      </w:r>
      <w:r w:rsidR="004C5DC8">
        <w:t>ed</w:t>
      </w:r>
      <w:r w:rsidRPr="00B704F9">
        <w:t xml:space="preserve"> three viable options:</w:t>
      </w:r>
    </w:p>
    <w:p w14:paraId="57AF8A61" w14:textId="6541C31A" w:rsidR="00897A3A" w:rsidRPr="00B704F9" w:rsidRDefault="00897A3A" w:rsidP="00897A3A">
      <w:pPr>
        <w:numPr>
          <w:ilvl w:val="0"/>
          <w:numId w:val="1"/>
        </w:numPr>
        <w:jc w:val="both"/>
      </w:pPr>
      <w:r w:rsidRPr="00B704F9">
        <w:t xml:space="preserve">to submit a </w:t>
      </w:r>
      <w:proofErr w:type="gramStart"/>
      <w:r w:rsidRPr="00B704F9">
        <w:t>Head</w:t>
      </w:r>
      <w:proofErr w:type="gramEnd"/>
      <w:r w:rsidRPr="00B704F9">
        <w:t xml:space="preserve"> Start outline proposal based on a Bay of Plenty-wide Head Start proposal with three distinct unitary authorities — Western</w:t>
      </w:r>
      <w:r w:rsidR="004C5DC8">
        <w:t xml:space="preserve"> (Tauranga and Western Bay of Plenty)</w:t>
      </w:r>
      <w:r w:rsidRPr="00B704F9">
        <w:t>, Eastern</w:t>
      </w:r>
      <w:r w:rsidR="004C5DC8">
        <w:t xml:space="preserve"> (Whakatane, Kawerau and Opotiki)</w:t>
      </w:r>
      <w:r w:rsidRPr="00B704F9">
        <w:t xml:space="preserve"> and Central </w:t>
      </w:r>
      <w:r w:rsidR="004C5DC8">
        <w:t>(Rotorua)</w:t>
      </w:r>
      <w:r w:rsidRPr="00B704F9">
        <w:t>;</w:t>
      </w:r>
    </w:p>
    <w:p w14:paraId="045C9531" w14:textId="286767F8" w:rsidR="00897A3A" w:rsidRPr="00B704F9" w:rsidRDefault="00164041" w:rsidP="00897A3A">
      <w:pPr>
        <w:numPr>
          <w:ilvl w:val="0"/>
          <w:numId w:val="1"/>
        </w:numPr>
        <w:jc w:val="both"/>
      </w:pPr>
      <w:r>
        <w:t xml:space="preserve">to </w:t>
      </w:r>
      <w:r w:rsidR="00897A3A" w:rsidRPr="00B704F9">
        <w:t xml:space="preserve">not </w:t>
      </w:r>
      <w:r>
        <w:t>p</w:t>
      </w:r>
      <w:r w:rsidR="00897A3A" w:rsidRPr="00B704F9">
        <w:t xml:space="preserve">articipate in the </w:t>
      </w:r>
      <w:proofErr w:type="gramStart"/>
      <w:r w:rsidR="00897A3A" w:rsidRPr="00B704F9">
        <w:t>Head</w:t>
      </w:r>
      <w:proofErr w:type="gramEnd"/>
      <w:r w:rsidR="00897A3A" w:rsidRPr="00B704F9">
        <w:t xml:space="preserve"> Start process and therefore be subject to the Government’s Back Stop process, should legislation reflect the current policy; or</w:t>
      </w:r>
    </w:p>
    <w:p w14:paraId="6ED42621" w14:textId="77777777" w:rsidR="00897A3A" w:rsidRPr="00B704F9" w:rsidRDefault="00897A3A" w:rsidP="00897A3A">
      <w:pPr>
        <w:numPr>
          <w:ilvl w:val="0"/>
          <w:numId w:val="1"/>
        </w:numPr>
        <w:jc w:val="both"/>
      </w:pPr>
      <w:r w:rsidRPr="00B704F9">
        <w:t>to continue to pursue a Part 3 reorganisation under the current Local Government Act.</w:t>
      </w:r>
    </w:p>
    <w:p w14:paraId="1D8102EA" w14:textId="23854E26" w:rsidR="00164041" w:rsidRDefault="00164041" w:rsidP="00897A3A">
      <w:pPr>
        <w:jc w:val="both"/>
      </w:pPr>
      <w:r>
        <w:t>Option 1 was the recommended option.</w:t>
      </w:r>
    </w:p>
    <w:p w14:paraId="73C87C23" w14:textId="01FC4998" w:rsidR="00164041" w:rsidRDefault="00164041" w:rsidP="00164041">
      <w:pPr>
        <w:jc w:val="both"/>
      </w:pPr>
      <w:r>
        <w:t>The</w:t>
      </w:r>
      <w:r>
        <w:t xml:space="preserve"> analysis </w:t>
      </w:r>
      <w:r>
        <w:t>achieved to support the 29 July decision was considered</w:t>
      </w:r>
      <w:r>
        <w:t xml:space="preserve"> stronger than could reasonably have been expected within the timeframe available.</w:t>
      </w:r>
    </w:p>
    <w:p w14:paraId="34E79C5C" w14:textId="25C08B85" w:rsidR="00897A3A" w:rsidRPr="00B704F9" w:rsidRDefault="006C666F" w:rsidP="00897A3A">
      <w:pPr>
        <w:jc w:val="both"/>
      </w:pPr>
      <w:r>
        <w:t>Any</w:t>
      </w:r>
      <w:r w:rsidR="00897A3A" w:rsidRPr="00B704F9">
        <w:t xml:space="preserve"> proposal </w:t>
      </w:r>
      <w:r w:rsidR="00164041">
        <w:t>submitted</w:t>
      </w:r>
      <w:r>
        <w:t>, if</w:t>
      </w:r>
      <w:r w:rsidR="00164041">
        <w:t xml:space="preserve"> accepted</w:t>
      </w:r>
      <w:r w:rsidR="00897A3A" w:rsidRPr="00B704F9">
        <w:t xml:space="preserve"> by Cabinet, would </w:t>
      </w:r>
      <w:r>
        <w:t xml:space="preserve">require </w:t>
      </w:r>
      <w:r w:rsidR="00897A3A" w:rsidRPr="00B704F9">
        <w:t>detailed design, further engagement</w:t>
      </w:r>
      <w:r>
        <w:t xml:space="preserve"> and formal consultation</w:t>
      </w:r>
      <w:r w:rsidR="00897A3A" w:rsidRPr="00B704F9">
        <w:t>, financial analysis</w:t>
      </w:r>
      <w:r>
        <w:t xml:space="preserve"> and</w:t>
      </w:r>
      <w:r w:rsidR="00897A3A" w:rsidRPr="00B704F9">
        <w:t xml:space="preserve"> legislative development. </w:t>
      </w:r>
    </w:p>
    <w:p w14:paraId="550F8298" w14:textId="5316B9F5" w:rsidR="00897A3A" w:rsidRPr="00B704F9" w:rsidRDefault="00164041" w:rsidP="00897A3A">
      <w:pPr>
        <w:jc w:val="both"/>
      </w:pPr>
      <w:r>
        <w:rPr>
          <w:b/>
          <w:bCs/>
        </w:rPr>
        <w:t>The</w:t>
      </w:r>
      <w:r w:rsidR="00897A3A" w:rsidRPr="00B704F9">
        <w:rPr>
          <w:b/>
          <w:bCs/>
        </w:rPr>
        <w:t xml:space="preserve"> options </w:t>
      </w:r>
    </w:p>
    <w:p w14:paraId="4F11F4FB" w14:textId="7432670F" w:rsidR="00897A3A" w:rsidRPr="00B704F9" w:rsidRDefault="00164041" w:rsidP="00897A3A">
      <w:pPr>
        <w:jc w:val="both"/>
      </w:pPr>
      <w:r>
        <w:t>Six</w:t>
      </w:r>
      <w:r w:rsidR="00897A3A" w:rsidRPr="00B704F9">
        <w:t xml:space="preserve"> potential </w:t>
      </w:r>
      <w:r>
        <w:t xml:space="preserve">options that had been </w:t>
      </w:r>
      <w:r w:rsidR="00897A3A" w:rsidRPr="00B704F9">
        <w:t>under consideration</w:t>
      </w:r>
      <w:r>
        <w:t xml:space="preserve"> were reduced to three viable options for Council decision on 29 July.</w:t>
      </w:r>
    </w:p>
    <w:p w14:paraId="5D5E4060" w14:textId="347E7ADD" w:rsidR="00164041" w:rsidRDefault="00164041" w:rsidP="00897A3A">
      <w:pPr>
        <w:jc w:val="both"/>
      </w:pPr>
      <w:r>
        <w:t xml:space="preserve">Option 1 was </w:t>
      </w:r>
      <w:r w:rsidR="00897A3A" w:rsidRPr="00B704F9">
        <w:t xml:space="preserve">the </w:t>
      </w:r>
      <w:r w:rsidR="00897A3A">
        <w:t>option supported by the analysis</w:t>
      </w:r>
      <w:r>
        <w:t xml:space="preserve"> that was able to be undertaken because i</w:t>
      </w:r>
      <w:r w:rsidR="00897A3A">
        <w:t>t</w:t>
      </w:r>
      <w:r w:rsidR="00897A3A" w:rsidRPr="00B704F9">
        <w:t xml:space="preserve"> gives Rotorua the most active role in shaping </w:t>
      </w:r>
      <w:r>
        <w:t>a</w:t>
      </w:r>
      <w:r w:rsidR="00897A3A" w:rsidRPr="00B704F9">
        <w:t xml:space="preserve"> proposal now</w:t>
      </w:r>
      <w:r w:rsidR="00897A3A">
        <w:t xml:space="preserve">, while still making </w:t>
      </w:r>
      <w:r>
        <w:t xml:space="preserve">it </w:t>
      </w:r>
      <w:r w:rsidR="00897A3A">
        <w:t xml:space="preserve">clear </w:t>
      </w:r>
      <w:r w:rsidR="00E67F66">
        <w:t>it</w:t>
      </w:r>
      <w:r w:rsidR="00897A3A">
        <w:t xml:space="preserve"> does not support any alternative Head Start configuration involving Rotorua</w:t>
      </w:r>
      <w:r>
        <w:t xml:space="preserve"> without</w:t>
      </w:r>
      <w:r w:rsidR="00897A3A">
        <w:t xml:space="preserve"> Council </w:t>
      </w:r>
      <w:r>
        <w:t>approval</w:t>
      </w:r>
      <w:r w:rsidR="00897A3A">
        <w:t>.</w:t>
      </w:r>
    </w:p>
    <w:p w14:paraId="23D1247D" w14:textId="5BA883BB" w:rsidR="00897A3A" w:rsidRDefault="00164041" w:rsidP="00897A3A">
      <w:pPr>
        <w:jc w:val="both"/>
      </w:pPr>
      <w:r>
        <w:t>Options 2 and 3</w:t>
      </w:r>
      <w:r w:rsidR="00897A3A" w:rsidRPr="00B704F9">
        <w:t xml:space="preserve"> preserve</w:t>
      </w:r>
      <w:r>
        <w:t>d</w:t>
      </w:r>
      <w:r w:rsidR="00897A3A" w:rsidRPr="00B704F9">
        <w:t xml:space="preserve"> different forms of caution or </w:t>
      </w:r>
      <w:proofErr w:type="gramStart"/>
      <w:r w:rsidR="00897A3A" w:rsidRPr="00B704F9">
        <w:t>flexibility, but</w:t>
      </w:r>
      <w:proofErr w:type="gramEnd"/>
      <w:r w:rsidR="00897A3A" w:rsidRPr="00B704F9">
        <w:t xml:space="preserve"> also carr</w:t>
      </w:r>
      <w:r w:rsidR="00E67F66">
        <w:t>y</w:t>
      </w:r>
      <w:r w:rsidR="00897A3A" w:rsidRPr="00B704F9">
        <w:t xml:space="preserve"> the risk that Rotorua has less influence over what comes next.</w:t>
      </w:r>
    </w:p>
    <w:p w14:paraId="29719D6A" w14:textId="6618E0F6" w:rsidR="00897A3A" w:rsidRPr="00B704F9" w:rsidRDefault="00164041" w:rsidP="00897A3A">
      <w:pPr>
        <w:jc w:val="both"/>
      </w:pPr>
      <w:r>
        <w:t xml:space="preserve">High level analysis </w:t>
      </w:r>
      <w:proofErr w:type="gramStart"/>
      <w:r>
        <w:t>took into account</w:t>
      </w:r>
      <w:proofErr w:type="gramEnd"/>
      <w:r>
        <w:t xml:space="preserve"> six key criteria:</w:t>
      </w:r>
    </w:p>
    <w:p w14:paraId="06B0A25C" w14:textId="460CE130" w:rsidR="00897A3A" w:rsidRPr="00B704F9" w:rsidRDefault="00897A3A" w:rsidP="00897A3A">
      <w:pPr>
        <w:jc w:val="both"/>
      </w:pPr>
      <w:r w:rsidRPr="00B704F9">
        <w:rPr>
          <w:b/>
          <w:bCs/>
        </w:rPr>
        <w:lastRenderedPageBreak/>
        <w:t>Financial sustainability</w:t>
      </w:r>
      <w:r w:rsidR="00164041">
        <w:rPr>
          <w:b/>
          <w:bCs/>
        </w:rPr>
        <w:t>:</w:t>
      </w:r>
      <w:r w:rsidRPr="00B704F9">
        <w:t xml:space="preserve"> </w:t>
      </w:r>
      <w:r w:rsidR="00164041">
        <w:t>N</w:t>
      </w:r>
      <w:r w:rsidRPr="00B704F9">
        <w:t xml:space="preserve">o option </w:t>
      </w:r>
      <w:r w:rsidR="00164041">
        <w:t>was</w:t>
      </w:r>
      <w:r w:rsidRPr="00B704F9">
        <w:t xml:space="preserve"> ruled out solely on financial sustainability grounds at this outline stage. The preliminary modelling indicate</w:t>
      </w:r>
      <w:r w:rsidR="00164041">
        <w:t>d</w:t>
      </w:r>
      <w:r w:rsidRPr="00B704F9">
        <w:t xml:space="preserve"> the modelled options </w:t>
      </w:r>
      <w:r w:rsidR="00164041">
        <w:t>we</w:t>
      </w:r>
      <w:r w:rsidRPr="00B704F9">
        <w:t>re broadly financially sustainable, but differ</w:t>
      </w:r>
      <w:r w:rsidR="00164041">
        <w:t>ed</w:t>
      </w:r>
      <w:r w:rsidRPr="00B704F9">
        <w:t xml:space="preserve"> materially in scale, debt exposure, surplus margins, cost to serve, ratepayer impact and transition complexity. The treatment of water services, regional council functions, debt, rates harmonisation, service levels and transition costs would be material in any future detailed proposal. </w:t>
      </w:r>
    </w:p>
    <w:p w14:paraId="41515566" w14:textId="095207B8" w:rsidR="00897A3A" w:rsidRPr="00B704F9" w:rsidRDefault="00164041" w:rsidP="00897A3A">
      <w:pPr>
        <w:jc w:val="both"/>
      </w:pPr>
      <w:r>
        <w:t>F</w:t>
      </w:r>
      <w:r w:rsidR="00897A3A" w:rsidRPr="00B704F9">
        <w:t>ull financial due diligence</w:t>
      </w:r>
      <w:r>
        <w:t xml:space="preserve"> was not possible</w:t>
      </w:r>
      <w:r w:rsidR="00897A3A" w:rsidRPr="00B704F9">
        <w:t xml:space="preserve">. </w:t>
      </w:r>
      <w:r>
        <w:t>Analysis able to be undertaken within the required timeframe relied</w:t>
      </w:r>
      <w:r w:rsidR="00897A3A" w:rsidRPr="00B704F9">
        <w:t xml:space="preserve"> on annual report information, three-year averages and a 30 June 2025 snapshot</w:t>
      </w:r>
      <w:r w:rsidR="00E67F66">
        <w:t>. It did n</w:t>
      </w:r>
      <w:r w:rsidR="00897A3A" w:rsidRPr="00B704F9">
        <w:t xml:space="preserve">ot fully quantify transition costs, future inflation, interest rates, water reform treatment, asset condition differences, service-level harmonisation or systems integration. Those matters would need to be addressed before any final reorganisation decision. </w:t>
      </w:r>
    </w:p>
    <w:p w14:paraId="684609D0" w14:textId="37F3F715" w:rsidR="00897A3A" w:rsidRDefault="00E67F66" w:rsidP="00897A3A">
      <w:pPr>
        <w:jc w:val="both"/>
      </w:pPr>
      <w:r>
        <w:rPr>
          <w:b/>
          <w:bCs/>
        </w:rPr>
        <w:t>C</w:t>
      </w:r>
      <w:r w:rsidR="00897A3A" w:rsidRPr="00B704F9">
        <w:rPr>
          <w:b/>
          <w:bCs/>
        </w:rPr>
        <w:t>ommunities of interest</w:t>
      </w:r>
      <w:r>
        <w:rPr>
          <w:b/>
          <w:bCs/>
        </w:rPr>
        <w:t>:</w:t>
      </w:r>
      <w:r w:rsidR="00897A3A" w:rsidRPr="00B704F9">
        <w:t xml:space="preserve"> Technical analysis show</w:t>
      </w:r>
      <w:r>
        <w:t>ed</w:t>
      </w:r>
      <w:r w:rsidR="00897A3A" w:rsidRPr="00B704F9">
        <w:t xml:space="preserve"> strong functional links toward Tauranga and Western Bay, largely through labour, education and transport connections</w:t>
      </w:r>
      <w:r w:rsidR="00897A3A">
        <w:t>. Option One responds to that by placing Rotorua within a wider Bay of Plenty package, while preserving a distinct Central Rotorua unitary authority.</w:t>
      </w:r>
    </w:p>
    <w:p w14:paraId="61F34FA5" w14:textId="363A5E0A" w:rsidR="00897A3A" w:rsidRPr="00B704F9" w:rsidRDefault="00E67F66" w:rsidP="00897A3A">
      <w:pPr>
        <w:jc w:val="both"/>
      </w:pPr>
      <w:r>
        <w:t>Analysis concluded</w:t>
      </w:r>
      <w:r w:rsidR="00897A3A" w:rsidRPr="00B704F9">
        <w:t xml:space="preserve"> that Rotorua sits at the intersection of several communities: Bay of Plenty regional systems, Eastern Bay catchments and demographics, Western Bay and Tauranga functional connections, and an inland central North Island tourism, lakes, geothermal, forestry and health-network system.</w:t>
      </w:r>
    </w:p>
    <w:p w14:paraId="4E435A09" w14:textId="17A64D89" w:rsidR="00897A3A" w:rsidRPr="00B704F9" w:rsidRDefault="00E67F66" w:rsidP="00897A3A">
      <w:pPr>
        <w:jc w:val="both"/>
      </w:pPr>
      <w:r>
        <w:rPr>
          <w:b/>
          <w:bCs/>
        </w:rPr>
        <w:t>I</w:t>
      </w:r>
      <w:r w:rsidR="00897A3A" w:rsidRPr="00B704F9">
        <w:rPr>
          <w:b/>
          <w:bCs/>
        </w:rPr>
        <w:t xml:space="preserve">wi, Māori and Treaty </w:t>
      </w:r>
      <w:proofErr w:type="gramStart"/>
      <w:r w:rsidR="00897A3A" w:rsidRPr="00B704F9">
        <w:rPr>
          <w:b/>
          <w:bCs/>
        </w:rPr>
        <w:t>matters</w:t>
      </w:r>
      <w:proofErr w:type="gramEnd"/>
      <w:r>
        <w:rPr>
          <w:b/>
          <w:bCs/>
        </w:rPr>
        <w:t>:</w:t>
      </w:r>
      <w:r w:rsidR="00897A3A" w:rsidRPr="00B704F9">
        <w:t xml:space="preserve"> </w:t>
      </w:r>
      <w:r>
        <w:t xml:space="preserve"> </w:t>
      </w:r>
      <w:r w:rsidR="00897A3A">
        <w:t>Mana</w:t>
      </w:r>
      <w:r w:rsidR="00897A3A" w:rsidRPr="00B704F9">
        <w:t xml:space="preserve"> whenua interests are central to this. Rotorua has long-standing relationships with Te Arawa, including partnership arrangements, statutory and Treaty settlement obligations, and local governance practices that are significant to Rotorua’s identity and decision-making framework. </w:t>
      </w:r>
    </w:p>
    <w:p w14:paraId="08E1F718" w14:textId="32D4CC2D" w:rsidR="00897A3A" w:rsidRDefault="00E67F66" w:rsidP="00897A3A">
      <w:pPr>
        <w:jc w:val="both"/>
      </w:pPr>
      <w:r>
        <w:t>F</w:t>
      </w:r>
      <w:r w:rsidR="00897A3A">
        <w:t>eedback</w:t>
      </w:r>
      <w:r w:rsidR="00897A3A" w:rsidRPr="00B704F9">
        <w:t xml:space="preserve"> emphasised the need to protect existing representation, co-governance arrangements, Treaty settlement arrangements, catchment governance, Te Arawa relationships, statutory rights and the principle of no diminution of existing arrangements. </w:t>
      </w:r>
      <w:r w:rsidR="00897A3A">
        <w:t>Option One is the option that most directly allows Rotorua to put those protections forward as part of its own outline proposal, rather than leaving them to be worked through later in a process designed by others.</w:t>
      </w:r>
    </w:p>
    <w:p w14:paraId="5FD115CE" w14:textId="7455F6FE" w:rsidR="00897A3A" w:rsidRDefault="00E67F66" w:rsidP="00897A3A">
      <w:pPr>
        <w:jc w:val="both"/>
        <w:rPr>
          <w:lang w:eastAsia="en-NZ"/>
        </w:rPr>
      </w:pPr>
      <w:r>
        <w:rPr>
          <w:b/>
          <w:bCs/>
        </w:rPr>
        <w:t>E</w:t>
      </w:r>
      <w:r w:rsidR="00897A3A">
        <w:rPr>
          <w:b/>
          <w:bCs/>
        </w:rPr>
        <w:t>conomic alignment and strategic fit</w:t>
      </w:r>
      <w:r>
        <w:rPr>
          <w:b/>
          <w:bCs/>
        </w:rPr>
        <w:t>:</w:t>
      </w:r>
      <w:r w:rsidR="00897A3A">
        <w:t xml:space="preserve"> Rotorua’s economy is not defined by one relationship alone</w:t>
      </w:r>
      <w:r>
        <w:t>, it</w:t>
      </w:r>
      <w:r w:rsidR="00897A3A">
        <w:t xml:space="preserve"> has strong connections across the Bay of Plenty, including tourism, visitor flows, workforce, transport and supply-chain relationships. It also has a distinct economic identity based around tourism, forestry, geothermal activity, lakes, Māori enterprise, education, health and central North Island connections.</w:t>
      </w:r>
    </w:p>
    <w:p w14:paraId="733E619D" w14:textId="490ECD7E" w:rsidR="00897A3A" w:rsidRDefault="00E67F66" w:rsidP="00897A3A">
      <w:pPr>
        <w:jc w:val="both"/>
      </w:pPr>
      <w:proofErr w:type="gramStart"/>
      <w:r>
        <w:t>O</w:t>
      </w:r>
      <w:r w:rsidR="00897A3A">
        <w:t>ption</w:t>
      </w:r>
      <w:r>
        <w:t xml:space="preserve"> one</w:t>
      </w:r>
      <w:r w:rsidR="00897A3A">
        <w:t xml:space="preserve"> best supports Rotorua’s long-term economic direction,</w:t>
      </w:r>
      <w:proofErr w:type="gramEnd"/>
      <w:r w:rsidR="00897A3A">
        <w:t xml:space="preserve"> protects its distinctive strengths, and keeps Rotorua connected to the regional systems that matter</w:t>
      </w:r>
      <w:r>
        <w:t xml:space="preserve">, </w:t>
      </w:r>
      <w:r>
        <w:lastRenderedPageBreak/>
        <w:t>supporting</w:t>
      </w:r>
      <w:r w:rsidR="00897A3A">
        <w:t xml:space="preserve"> regional alignment while preserving Rotorua’s strategic focus and economic identity through a Rotorua unitary authority.</w:t>
      </w:r>
    </w:p>
    <w:p w14:paraId="3B33C5D0" w14:textId="2A2ABC4A" w:rsidR="00897A3A" w:rsidRDefault="00E67F66" w:rsidP="00897A3A">
      <w:pPr>
        <w:jc w:val="both"/>
      </w:pPr>
      <w:r>
        <w:rPr>
          <w:b/>
          <w:bCs/>
        </w:rPr>
        <w:t>L</w:t>
      </w:r>
      <w:r w:rsidR="00897A3A" w:rsidRPr="00B704F9">
        <w:rPr>
          <w:b/>
          <w:bCs/>
        </w:rPr>
        <w:t>ocal voice and representation</w:t>
      </w:r>
      <w:r>
        <w:rPr>
          <w:b/>
          <w:bCs/>
        </w:rPr>
        <w:t>:</w:t>
      </w:r>
      <w:r w:rsidR="00897A3A" w:rsidRPr="00B704F9">
        <w:t xml:space="preserve"> This is one of the most important trade-off</w:t>
      </w:r>
      <w:r>
        <w:t>s. A</w:t>
      </w:r>
      <w:r w:rsidR="00897A3A" w:rsidRPr="00B704F9">
        <w:t xml:space="preserve">nalysis shows options involving Tauranga materially reduce Rotorua’s relative representation, whereas smaller or more balanced configurations generally retain representation levels closer to Rotorua’s current expectations. </w:t>
      </w:r>
    </w:p>
    <w:p w14:paraId="4C38871E" w14:textId="448632FB" w:rsidR="00897A3A" w:rsidRDefault="00897A3A" w:rsidP="00897A3A">
      <w:pPr>
        <w:jc w:val="both"/>
      </w:pPr>
      <w:r w:rsidRPr="00B704F9">
        <w:t xml:space="preserve">The overall conclusion is that local voice weighs against any option that substantially dilutes Rotorua’s representation unless there are strong local safeguards. That means any larger configuration would need a deliberate local voice architecture local boards or committees, delegations, place-based budgets, Māori representation mechanisms, service centres and protections for rural, lakes and smaller communities. </w:t>
      </w:r>
    </w:p>
    <w:p w14:paraId="2FA45979" w14:textId="17F738EE" w:rsidR="00897A3A" w:rsidRDefault="00897A3A" w:rsidP="00897A3A">
      <w:pPr>
        <w:jc w:val="both"/>
      </w:pPr>
      <w:r>
        <w:t>Option One does not reduce Rotorua’s representation in the way some of the earlier wider amalgamation options would have. It also creates an opportunity, through bespoke Head Start legislation, to seek stronger local voice arrangements than exist now.</w:t>
      </w:r>
    </w:p>
    <w:p w14:paraId="4F094D0D" w14:textId="181A045E" w:rsidR="00897A3A" w:rsidRDefault="00E67F66" w:rsidP="00897A3A">
      <w:pPr>
        <w:jc w:val="both"/>
      </w:pPr>
      <w:r>
        <w:rPr>
          <w:b/>
          <w:bCs/>
        </w:rPr>
        <w:t>A</w:t>
      </w:r>
      <w:r w:rsidR="00897A3A" w:rsidRPr="00B704F9">
        <w:rPr>
          <w:b/>
          <w:bCs/>
        </w:rPr>
        <w:t>bility to deliver the Government’s priorities</w:t>
      </w:r>
      <w:r>
        <w:rPr>
          <w:b/>
          <w:bCs/>
        </w:rPr>
        <w:t>:</w:t>
      </w:r>
      <w:r w:rsidR="00897A3A" w:rsidRPr="00B704F9">
        <w:t xml:space="preserve"> </w:t>
      </w:r>
      <w:r>
        <w:t>B</w:t>
      </w:r>
      <w:r w:rsidR="00897A3A" w:rsidRPr="00B704F9">
        <w:t xml:space="preserve">igger is not automatically better. Wider Bay of Plenty options have strong scale and simplification arguments, but they also bring higher transition, Treaty settlement, local voice and implementation complexity. </w:t>
      </w:r>
      <w:r w:rsidR="00897A3A">
        <w:t>Option One seeks to balance those matters by supporting a Bay of Plenty-wide reform response while retaining a Rotorua-focused unitary model with stronger local voice and organisational deliverability for Rotorua.</w:t>
      </w:r>
    </w:p>
    <w:p w14:paraId="32DDBA40" w14:textId="77777777" w:rsidR="00897A3A" w:rsidRPr="00B704F9" w:rsidRDefault="00897A3A" w:rsidP="00897A3A">
      <w:pPr>
        <w:jc w:val="both"/>
      </w:pPr>
      <w:r w:rsidRPr="00B704F9">
        <w:t>At the outline stage, the strongest proposal is likely to be one that is honest about what is known and what remains unresolved. The timeframe does not allow full transition planning, final representation design, detailed financial due diligence, Treaty settlement transfer design, asset and liability allocation, or formal community consultation before 9 August.</w:t>
      </w:r>
    </w:p>
    <w:p w14:paraId="7F3EEA82" w14:textId="1DD85E5A" w:rsidR="00897A3A" w:rsidRPr="00B704F9" w:rsidRDefault="00E67F66" w:rsidP="00897A3A">
      <w:pPr>
        <w:jc w:val="both"/>
      </w:pPr>
      <w:r>
        <w:t xml:space="preserve">The advice is that </w:t>
      </w:r>
      <w:r w:rsidR="00897A3A" w:rsidRPr="00B704F9">
        <w:t>if Council chooses to submit, the proposal should be framed clearly as preliminary and conditional. It should identify what must be worked through in detailed design: transition governance, regional functions, catchment management, transport, Treaty settlement protection, iwi relationship transition, local voice, Māori representation, financial due diligence, water services, staff and systems transfer, and the support required from Government.</w:t>
      </w:r>
    </w:p>
    <w:p w14:paraId="2BB78573" w14:textId="69D49876" w:rsidR="00897A3A" w:rsidRDefault="00E67F66" w:rsidP="00897A3A">
      <w:pPr>
        <w:jc w:val="both"/>
      </w:pPr>
      <w:r>
        <w:rPr>
          <w:b/>
          <w:bCs/>
        </w:rPr>
        <w:t>In summary</w:t>
      </w:r>
    </w:p>
    <w:p w14:paraId="7B8C7EE0" w14:textId="77777777" w:rsidR="00E67F66" w:rsidRDefault="00E67F66" w:rsidP="00897A3A">
      <w:pPr>
        <w:jc w:val="both"/>
      </w:pPr>
      <w:r>
        <w:t>A</w:t>
      </w:r>
      <w:r w:rsidR="00897A3A" w:rsidRPr="00B704F9">
        <w:t>nalysis</w:t>
      </w:r>
      <w:r>
        <w:t xml:space="preserve"> undertaken to date</w:t>
      </w:r>
      <w:r w:rsidR="00897A3A" w:rsidRPr="00B704F9">
        <w:t xml:space="preserve"> supports </w:t>
      </w:r>
      <w:r w:rsidR="00897A3A">
        <w:t>Option One.</w:t>
      </w:r>
    </w:p>
    <w:p w14:paraId="3A8748F2" w14:textId="2D28D2FA" w:rsidR="00897A3A" w:rsidRDefault="00E67F66" w:rsidP="00897A3A">
      <w:pPr>
        <w:jc w:val="both"/>
      </w:pPr>
      <w:r>
        <w:t xml:space="preserve">This </w:t>
      </w:r>
      <w:r w:rsidR="00897A3A" w:rsidRPr="00B704F9">
        <w:t xml:space="preserve">would allow Rotorua to put forward a locally shaped position, informed by community, iwi and stakeholder input, rather than leaving the district entirely to a later centrally designed process. The risks </w:t>
      </w:r>
      <w:r>
        <w:t>include</w:t>
      </w:r>
      <w:r w:rsidR="00897A3A" w:rsidRPr="00B704F9">
        <w:t xml:space="preserve"> compressed timeframes, incomplete information, uncertainty about final legislation, limited formal consultation, partner-</w:t>
      </w:r>
      <w:r w:rsidR="00897A3A" w:rsidRPr="00B704F9">
        <w:lastRenderedPageBreak/>
        <w:t xml:space="preserve">council uncertainty and implementation complexity. </w:t>
      </w:r>
      <w:r>
        <w:t>It is considered</w:t>
      </w:r>
      <w:r w:rsidR="00897A3A" w:rsidRPr="00B704F9">
        <w:t xml:space="preserve"> those risks can be mitigated by being explicit that any proposal is outline only, recording the limits of the analysis and committing to further engagement and detailed design if Cabinet a</w:t>
      </w:r>
      <w:r>
        <w:t>ccepts</w:t>
      </w:r>
      <w:r w:rsidR="00897A3A" w:rsidRPr="00B704F9">
        <w:t xml:space="preserve"> the proposal in principle.</w:t>
      </w:r>
    </w:p>
    <w:p w14:paraId="73064048" w14:textId="5238E699" w:rsidR="00897A3A" w:rsidRPr="00B704F9" w:rsidRDefault="00897A3A" w:rsidP="00897A3A">
      <w:pPr>
        <w:jc w:val="both"/>
      </w:pPr>
      <w:r w:rsidRPr="00B704F9">
        <w:t>Option One</w:t>
      </w:r>
      <w:r w:rsidR="00E67F66">
        <w:t xml:space="preserve"> puts</w:t>
      </w:r>
      <w:r w:rsidRPr="00B704F9">
        <w:t xml:space="preserve"> Rotorua within a Bay of Plenty-wide regional response made up of three distinct unitary authorities, while also reserving </w:t>
      </w:r>
      <w:r w:rsidR="00296286">
        <w:t>a</w:t>
      </w:r>
      <w:r w:rsidRPr="00B704F9">
        <w:t xml:space="preserve"> position tha</w:t>
      </w:r>
      <w:r w:rsidR="00296286">
        <w:t>t Rotorua</w:t>
      </w:r>
      <w:r w:rsidRPr="00B704F9">
        <w:t xml:space="preserve"> does not support any other Head Start configuration that includes Rotorua without Council approval. It also confirms that, if Rotorua is required to amalgamate in the future, Council’s preferred approach is a unitary with Rotorua and/or Taupō, and/or boundary adjustments to include the </w:t>
      </w:r>
      <w:proofErr w:type="spellStart"/>
      <w:r w:rsidRPr="00B704F9">
        <w:t>Kaituna</w:t>
      </w:r>
      <w:proofErr w:type="spellEnd"/>
      <w:r w:rsidRPr="00B704F9">
        <w:t xml:space="preserve"> Catchment — Mai </w:t>
      </w:r>
      <w:proofErr w:type="spellStart"/>
      <w:r w:rsidRPr="00B704F9">
        <w:t>i</w:t>
      </w:r>
      <w:proofErr w:type="spellEnd"/>
      <w:r w:rsidRPr="00B704F9">
        <w:t xml:space="preserve"> </w:t>
      </w:r>
      <w:proofErr w:type="spellStart"/>
      <w:r w:rsidRPr="00B704F9">
        <w:t>Maketū</w:t>
      </w:r>
      <w:proofErr w:type="spellEnd"/>
      <w:r w:rsidRPr="00B704F9">
        <w:t xml:space="preserve"> ki Tongariro. </w:t>
      </w:r>
    </w:p>
    <w:p w14:paraId="51DCF83A" w14:textId="09819A63" w:rsidR="00897A3A" w:rsidRDefault="00897A3A" w:rsidP="00897A3A">
      <w:pPr>
        <w:jc w:val="both"/>
      </w:pPr>
      <w:r w:rsidRPr="00B704F9">
        <w:t>That approach does not remove the risk</w:t>
      </w:r>
      <w:r w:rsidR="00E67F66">
        <w:t xml:space="preserve"> but would</w:t>
      </w:r>
      <w:r w:rsidRPr="00B704F9">
        <w:t xml:space="preserve"> put Rotorua’s </w:t>
      </w:r>
      <w:r>
        <w:t xml:space="preserve">preferred </w:t>
      </w:r>
      <w:r w:rsidRPr="00B704F9">
        <w:t>position clearly on the table</w:t>
      </w:r>
      <w:r>
        <w:t xml:space="preserve"> and give Government a constructive, </w:t>
      </w:r>
      <w:proofErr w:type="gramStart"/>
      <w:r>
        <w:t>locally</w:t>
      </w:r>
      <w:r w:rsidR="00E67F66">
        <w:t>-</w:t>
      </w:r>
      <w:r>
        <w:t>informed</w:t>
      </w:r>
      <w:proofErr w:type="gramEnd"/>
      <w:r>
        <w:t xml:space="preserve"> proposal to consider</w:t>
      </w:r>
      <w:r w:rsidRPr="00B704F9">
        <w:t>.</w:t>
      </w:r>
    </w:p>
    <w:p w14:paraId="252B9C78" w14:textId="04DE4C15" w:rsidR="00897A3A" w:rsidRDefault="00296286" w:rsidP="00897A3A">
      <w:pPr>
        <w:jc w:val="both"/>
        <w:rPr>
          <w:lang w:eastAsia="en-NZ"/>
        </w:rPr>
      </w:pPr>
      <w:r>
        <w:t>While t</w:t>
      </w:r>
      <w:r w:rsidR="00897A3A">
        <w:t>he Head Start pathway has not yet been given effect through legislation</w:t>
      </w:r>
      <w:r>
        <w:t>,</w:t>
      </w:r>
      <w:r w:rsidR="00897A3A">
        <w:t xml:space="preserve"> there is presently no indication that the Government intends to depart from the reform pathway it has announced.</w:t>
      </w:r>
    </w:p>
    <w:p w14:paraId="151E6171" w14:textId="74E096B6" w:rsidR="00897A3A" w:rsidRDefault="00897A3A" w:rsidP="00897A3A">
      <w:pPr>
        <w:jc w:val="both"/>
        <w:rPr>
          <w:lang w:eastAsia="en-NZ"/>
        </w:rPr>
      </w:pPr>
      <w:r>
        <w:t>Local authorities derive their powers and functions from legislation enacted by Parliament and must exercise those powers within the statutory framework in force at the time. Councils can make decisions and adopt policies within their lawful authority, but th</w:t>
      </w:r>
      <w:r w:rsidR="00296286">
        <w:t>e</w:t>
      </w:r>
      <w:r>
        <w:t>se remain subject to later legislative change. If Parliament enacts legislation that alters the framework, that legislation will take precedence over existing local authority decisions or policy positions.</w:t>
      </w:r>
    </w:p>
    <w:p w14:paraId="498CE838" w14:textId="38770DC9" w:rsidR="00897A3A" w:rsidRDefault="00296286" w:rsidP="00897A3A">
      <w:pPr>
        <w:jc w:val="both"/>
        <w:rPr>
          <w:lang w:eastAsia="en-NZ"/>
        </w:rPr>
      </w:pPr>
      <w:r>
        <w:t>An</w:t>
      </w:r>
      <w:r w:rsidR="00897A3A">
        <w:t xml:space="preserve"> eligibility risk with Option One</w:t>
      </w:r>
      <w:r>
        <w:t xml:space="preserve"> exists </w:t>
      </w:r>
      <w:r w:rsidR="00897A3A">
        <w:t>because</w:t>
      </w:r>
      <w:r>
        <w:t xml:space="preserve"> it does not involve</w:t>
      </w:r>
      <w:r w:rsidR="00897A3A">
        <w:t xml:space="preserve"> Rotorua merging directly with another council. That risk is mitigated, but not removed, by advice from DIA, now MCERT, that </w:t>
      </w:r>
      <w:r>
        <w:t>such a</w:t>
      </w:r>
      <w:r w:rsidR="00897A3A">
        <w:t xml:space="preserve"> Rotorua proposal can be treated as eligible because it forms part of a broader Bay of Plenty proposal. It is also mitigated by the intended approach of submitting three separate proposals with a common covering letter, and by the Western and Eastern Bay proposals expressly recognising the Central Bay/Rotorua unitary as a separate but linked part of the overall regional package.</w:t>
      </w:r>
    </w:p>
    <w:p w14:paraId="3DB580B7" w14:textId="4F108D3A" w:rsidR="00897A3A" w:rsidRDefault="00897A3A" w:rsidP="00897A3A">
      <w:pPr>
        <w:jc w:val="both"/>
      </w:pPr>
      <w:r>
        <w:t xml:space="preserve">If this </w:t>
      </w:r>
      <w:r w:rsidR="006C666F">
        <w:t>were</w:t>
      </w:r>
      <w:r>
        <w:t xml:space="preserve"> tested, the </w:t>
      </w:r>
      <w:r w:rsidR="006C666F">
        <w:t>argument could be</w:t>
      </w:r>
      <w:r>
        <w:t xml:space="preserve"> that a process should not necessarily fail because its form is imperfect, if it has substantially met the purpose and essential requirements of the statutory or policy framework. Option One substantially gives effect to the intent of the Head Start pathway as part of an integrated Bay of Plenty package.</w:t>
      </w:r>
    </w:p>
    <w:p w14:paraId="38BFCBBB" w14:textId="77777777" w:rsidR="00E67F66" w:rsidRPr="00E67F66" w:rsidRDefault="00E67F66" w:rsidP="00897A3A">
      <w:pPr>
        <w:jc w:val="both"/>
        <w:rPr>
          <w:b/>
          <w:bCs/>
        </w:rPr>
      </w:pPr>
      <w:r w:rsidRPr="00E67F66">
        <w:rPr>
          <w:b/>
          <w:bCs/>
        </w:rPr>
        <w:t>Community feedback</w:t>
      </w:r>
    </w:p>
    <w:p w14:paraId="7717B42F" w14:textId="18281976" w:rsidR="00897A3A" w:rsidRPr="00B704F9" w:rsidRDefault="00897A3A" w:rsidP="00897A3A">
      <w:pPr>
        <w:jc w:val="both"/>
      </w:pPr>
      <w:r w:rsidRPr="00B704F9">
        <w:t xml:space="preserve">Round one </w:t>
      </w:r>
      <w:r w:rsidR="00E67F66">
        <w:t>of two rounds of community engaged attracted</w:t>
      </w:r>
      <w:r w:rsidRPr="00B704F9">
        <w:t xml:space="preserve"> 323 online</w:t>
      </w:r>
      <w:r w:rsidR="00E67F66">
        <w:t xml:space="preserve"> survey</w:t>
      </w:r>
      <w:r w:rsidRPr="00B704F9">
        <w:t xml:space="preserve"> submissions</w:t>
      </w:r>
      <w:r w:rsidR="00E67F66">
        <w:t xml:space="preserve"> and 9155 votes in a</w:t>
      </w:r>
      <w:r w:rsidRPr="00B704F9">
        <w:t xml:space="preserve"> Facebook poll. Round two </w:t>
      </w:r>
      <w:r w:rsidR="00E67F66">
        <w:t>attracted</w:t>
      </w:r>
      <w:r w:rsidRPr="00B704F9">
        <w:t xml:space="preserve"> 782 </w:t>
      </w:r>
      <w:r w:rsidR="00E67F66">
        <w:t xml:space="preserve">survey </w:t>
      </w:r>
      <w:r w:rsidRPr="00B704F9">
        <w:t>submissions</w:t>
      </w:r>
      <w:r w:rsidR="00E67F66">
        <w:t xml:space="preserve"> and</w:t>
      </w:r>
      <w:r w:rsidRPr="00B704F9">
        <w:t xml:space="preserve"> 11 email submissions.</w:t>
      </w:r>
    </w:p>
    <w:p w14:paraId="4C82A02A" w14:textId="77777777" w:rsidR="00296286" w:rsidRDefault="00897A3A" w:rsidP="00897A3A">
      <w:pPr>
        <w:jc w:val="both"/>
      </w:pPr>
      <w:r w:rsidRPr="00B704F9">
        <w:lastRenderedPageBreak/>
        <w:t>The key themes were consistent. People were concerned about protecting local voice and identity, rates and financial risk, the pace of the Government process, Māori and iwi representation and ensuring that any change reflects communities that Rotorua genuinely connects with.</w:t>
      </w:r>
    </w:p>
    <w:p w14:paraId="636868C2" w14:textId="4A473EA7" w:rsidR="00897A3A" w:rsidRPr="00B704F9" w:rsidRDefault="00897A3A" w:rsidP="00897A3A">
      <w:pPr>
        <w:jc w:val="both"/>
      </w:pPr>
      <w:r w:rsidRPr="00B704F9">
        <w:t xml:space="preserve">In round two, the criteria ranked most important were financial health, local voice and political representation, communities of interest, economic alignment, mana whenua views and commitments, and ability to deliver the Government’s reform priorities. </w:t>
      </w:r>
    </w:p>
    <w:p w14:paraId="3787B3B8" w14:textId="2A3B6CE1" w:rsidR="00897A3A" w:rsidRPr="00B704F9" w:rsidRDefault="00E67F66" w:rsidP="00897A3A">
      <w:pPr>
        <w:jc w:val="both"/>
      </w:pPr>
      <w:r>
        <w:t>T</w:t>
      </w:r>
      <w:r w:rsidR="00897A3A" w:rsidRPr="00B704F9">
        <w:t>he feedback</w:t>
      </w:r>
      <w:r>
        <w:t xml:space="preserve"> received</w:t>
      </w:r>
      <w:r w:rsidR="00897A3A" w:rsidRPr="00B704F9">
        <w:t xml:space="preserve"> is useful and important but should not be overstated as a formal mandate. It is early engagement undertaken in a compressed timeframe</w:t>
      </w:r>
      <w:r>
        <w:t xml:space="preserve"> and </w:t>
      </w:r>
      <w:r w:rsidR="00897A3A" w:rsidRPr="00B704F9">
        <w:t xml:space="preserve">should inform Council’s judgement but does not replace the need for further engagement and formal consultation if any proposal progresses. </w:t>
      </w:r>
    </w:p>
    <w:p w14:paraId="254740BF" w14:textId="77777777" w:rsidR="00897A3A" w:rsidRDefault="00897A3A" w:rsidP="00897A3A">
      <w:pPr>
        <w:jc w:val="both"/>
      </w:pPr>
    </w:p>
    <w:p w14:paraId="1EF2B597" w14:textId="77777777" w:rsidR="00897A3A" w:rsidRDefault="00897A3A"/>
    <w:sectPr w:rsidR="00897A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2BDC"/>
    <w:multiLevelType w:val="multilevel"/>
    <w:tmpl w:val="9ACCE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7445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3A"/>
    <w:rsid w:val="00164041"/>
    <w:rsid w:val="00202523"/>
    <w:rsid w:val="00296286"/>
    <w:rsid w:val="004C5DC8"/>
    <w:rsid w:val="006C666F"/>
    <w:rsid w:val="007E4D99"/>
    <w:rsid w:val="00897A3A"/>
    <w:rsid w:val="00E67F6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A7FF"/>
  <w15:chartTrackingRefBased/>
  <w15:docId w15:val="{AE3C4219-F3C9-4668-A664-24496C2D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A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A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A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A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A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A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A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A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A3A"/>
    <w:rPr>
      <w:rFonts w:eastAsiaTheme="majorEastAsia" w:cstheme="majorBidi"/>
      <w:color w:val="272727" w:themeColor="text1" w:themeTint="D8"/>
    </w:rPr>
  </w:style>
  <w:style w:type="paragraph" w:styleId="Title">
    <w:name w:val="Title"/>
    <w:basedOn w:val="Normal"/>
    <w:next w:val="Normal"/>
    <w:link w:val="TitleChar"/>
    <w:uiPriority w:val="10"/>
    <w:qFormat/>
    <w:rsid w:val="00897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A3A"/>
    <w:pPr>
      <w:spacing w:before="160"/>
      <w:jc w:val="center"/>
    </w:pPr>
    <w:rPr>
      <w:i/>
      <w:iCs/>
      <w:color w:val="404040" w:themeColor="text1" w:themeTint="BF"/>
    </w:rPr>
  </w:style>
  <w:style w:type="character" w:customStyle="1" w:styleId="QuoteChar">
    <w:name w:val="Quote Char"/>
    <w:basedOn w:val="DefaultParagraphFont"/>
    <w:link w:val="Quote"/>
    <w:uiPriority w:val="29"/>
    <w:rsid w:val="00897A3A"/>
    <w:rPr>
      <w:i/>
      <w:iCs/>
      <w:color w:val="404040" w:themeColor="text1" w:themeTint="BF"/>
    </w:rPr>
  </w:style>
  <w:style w:type="paragraph" w:styleId="ListParagraph">
    <w:name w:val="List Paragraph"/>
    <w:basedOn w:val="Normal"/>
    <w:uiPriority w:val="34"/>
    <w:qFormat/>
    <w:rsid w:val="00897A3A"/>
    <w:pPr>
      <w:ind w:left="720"/>
      <w:contextualSpacing/>
    </w:pPr>
  </w:style>
  <w:style w:type="character" w:styleId="IntenseEmphasis">
    <w:name w:val="Intense Emphasis"/>
    <w:basedOn w:val="DefaultParagraphFont"/>
    <w:uiPriority w:val="21"/>
    <w:qFormat/>
    <w:rsid w:val="00897A3A"/>
    <w:rPr>
      <w:i/>
      <w:iCs/>
      <w:color w:val="0F4761" w:themeColor="accent1" w:themeShade="BF"/>
    </w:rPr>
  </w:style>
  <w:style w:type="paragraph" w:styleId="IntenseQuote">
    <w:name w:val="Intense Quote"/>
    <w:basedOn w:val="Normal"/>
    <w:next w:val="Normal"/>
    <w:link w:val="IntenseQuoteChar"/>
    <w:uiPriority w:val="30"/>
    <w:qFormat/>
    <w:rsid w:val="00897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A3A"/>
    <w:rPr>
      <w:i/>
      <w:iCs/>
      <w:color w:val="0F4761" w:themeColor="accent1" w:themeShade="BF"/>
    </w:rPr>
  </w:style>
  <w:style w:type="character" w:styleId="IntenseReference">
    <w:name w:val="Intense Reference"/>
    <w:basedOn w:val="DefaultParagraphFont"/>
    <w:uiPriority w:val="32"/>
    <w:qFormat/>
    <w:rsid w:val="00897A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1667</Words>
  <Characters>9872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Rotorua Lakes Council</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Tiriana</dc:creator>
  <cp:keywords/>
  <dc:description/>
  <cp:lastModifiedBy>Ingrid Tiriana</cp:lastModifiedBy>
  <cp:revision>4</cp:revision>
  <dcterms:created xsi:type="dcterms:W3CDTF">2026-07-29T01:41:00Z</dcterms:created>
  <dcterms:modified xsi:type="dcterms:W3CDTF">2026-07-29T02:44:00Z</dcterms:modified>
</cp:coreProperties>
</file>