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19" w:rsidRDefault="002306E2" w:rsidP="003F082F">
      <w:pPr>
        <w:jc w:val="both"/>
      </w:pPr>
      <w:r>
        <w:rPr>
          <w:b/>
        </w:rPr>
        <w:t xml:space="preserve">Restore </w:t>
      </w:r>
      <w:proofErr w:type="spellStart"/>
      <w:r>
        <w:rPr>
          <w:b/>
        </w:rPr>
        <w:t>Rotorua</w:t>
      </w:r>
      <w:proofErr w:type="spellEnd"/>
      <w:r>
        <w:rPr>
          <w:b/>
        </w:rPr>
        <w:t xml:space="preserve"> wins </w:t>
      </w:r>
      <w:r w:rsidR="00A709AE" w:rsidRPr="00AE3561">
        <w:rPr>
          <w:b/>
        </w:rPr>
        <w:t>an independent commission</w:t>
      </w:r>
      <w:r>
        <w:rPr>
          <w:b/>
        </w:rPr>
        <w:t>er</w:t>
      </w:r>
      <w:r w:rsidR="00A709AE" w:rsidRPr="00AE3561">
        <w:rPr>
          <w:b/>
        </w:rPr>
        <w:t xml:space="preserve"> panel to hear resource consent </w:t>
      </w:r>
      <w:r w:rsidR="006A090A" w:rsidRPr="00AE3561">
        <w:rPr>
          <w:b/>
        </w:rPr>
        <w:t>applications on emergency housing</w:t>
      </w:r>
      <w:r w:rsidR="003F082F">
        <w:t xml:space="preserve"> – 11 October 2021</w:t>
      </w:r>
    </w:p>
    <w:p w:rsidR="006A090A" w:rsidRDefault="00A709AE" w:rsidP="003F082F">
      <w:pPr>
        <w:jc w:val="both"/>
        <w:rPr>
          <w:lang w:val="en-US"/>
        </w:rPr>
      </w:pPr>
      <w:r>
        <w:t xml:space="preserve">Trevor </w:t>
      </w:r>
      <w:proofErr w:type="spellStart"/>
      <w:r>
        <w:t>Newbrook</w:t>
      </w:r>
      <w:proofErr w:type="spellEnd"/>
      <w:r>
        <w:t xml:space="preserve">, </w:t>
      </w:r>
      <w:r>
        <w:rPr>
          <w:lang w:val="en-US"/>
        </w:rPr>
        <w:t xml:space="preserve">Spokesperson for Restore </w:t>
      </w:r>
      <w:proofErr w:type="spellStart"/>
      <w:r>
        <w:rPr>
          <w:lang w:val="en-US"/>
        </w:rPr>
        <w:t>Rotorua</w:t>
      </w:r>
      <w:proofErr w:type="spellEnd"/>
      <w:r>
        <w:rPr>
          <w:lang w:val="en-US"/>
        </w:rPr>
        <w:t xml:space="preserve"> </w:t>
      </w:r>
      <w:r w:rsidR="006A090A">
        <w:rPr>
          <w:lang w:val="en-US"/>
        </w:rPr>
        <w:t>welcomed</w:t>
      </w:r>
      <w:r>
        <w:rPr>
          <w:lang w:val="en-US"/>
        </w:rPr>
        <w:t xml:space="preserve"> the Council</w:t>
      </w:r>
      <w:r w:rsidR="006A090A">
        <w:rPr>
          <w:lang w:val="en-US"/>
        </w:rPr>
        <w:t xml:space="preserve">’s decision to appoint </w:t>
      </w:r>
      <w:r w:rsidR="006A090A" w:rsidRPr="006B37A8">
        <w:rPr>
          <w:lang w:val="en-US"/>
        </w:rPr>
        <w:t xml:space="preserve">independent hearings commissioners </w:t>
      </w:r>
      <w:r w:rsidR="006A090A">
        <w:rPr>
          <w:lang w:val="en-US"/>
        </w:rPr>
        <w:t xml:space="preserve">to decide on notification and the substantive resource consent </w:t>
      </w:r>
      <w:r w:rsidR="00DB65D8">
        <w:rPr>
          <w:lang w:val="en-US"/>
        </w:rPr>
        <w:t>applications</w:t>
      </w:r>
      <w:r w:rsidR="006A090A">
        <w:rPr>
          <w:lang w:val="en-US"/>
        </w:rPr>
        <w:t xml:space="preserve"> for emergency housing made by Ministry of Housing and Urban Development</w:t>
      </w:r>
      <w:r w:rsidR="00DB65D8">
        <w:rPr>
          <w:lang w:val="en-US"/>
        </w:rPr>
        <w:t>.</w:t>
      </w:r>
    </w:p>
    <w:p w:rsidR="00DB65D8" w:rsidRDefault="00DB65D8" w:rsidP="003F082F">
      <w:pPr>
        <w:jc w:val="both"/>
        <w:rPr>
          <w:lang w:val="en-US"/>
        </w:rPr>
      </w:pPr>
      <w:r>
        <w:rPr>
          <w:lang w:val="en-US"/>
        </w:rPr>
        <w:t xml:space="preserve">“Common sense has prevailed and independent commissioners will hear from those most affected. Restore </w:t>
      </w:r>
      <w:proofErr w:type="spellStart"/>
      <w:r>
        <w:rPr>
          <w:lang w:val="en-US"/>
        </w:rPr>
        <w:t>Rotorua</w:t>
      </w:r>
      <w:proofErr w:type="spellEnd"/>
      <w:r>
        <w:rPr>
          <w:lang w:val="en-US"/>
        </w:rPr>
        <w:t xml:space="preserve"> will be making submissions and we hope that anyone else affected will take the opportunity to do the same. The homeless need to be housed but is Fenton St/Fairy Springs Road and Lakes Road really the best place for all of these people</w:t>
      </w:r>
      <w:r w:rsidR="002306E2">
        <w:rPr>
          <w:lang w:val="en-US"/>
        </w:rPr>
        <w:t xml:space="preserve"> to live? Mum Dad,</w:t>
      </w:r>
      <w:r w:rsidR="00065F04">
        <w:rPr>
          <w:lang w:val="en-US"/>
        </w:rPr>
        <w:t xml:space="preserve"> 2 kids and a dog jammed into a studio with little open space?”</w:t>
      </w:r>
    </w:p>
    <w:p w:rsidR="00A709AE" w:rsidRDefault="00A709AE" w:rsidP="003F082F">
      <w:pPr>
        <w:jc w:val="both"/>
        <w:rPr>
          <w:lang w:val="en-US"/>
        </w:rPr>
      </w:pPr>
      <w:r>
        <w:rPr>
          <w:lang w:val="en-US"/>
        </w:rPr>
        <w:t xml:space="preserve">Restore </w:t>
      </w:r>
      <w:proofErr w:type="spellStart"/>
      <w:r>
        <w:rPr>
          <w:lang w:val="en-US"/>
        </w:rPr>
        <w:t>Rotorua</w:t>
      </w:r>
      <w:proofErr w:type="spellEnd"/>
      <w:r>
        <w:rPr>
          <w:lang w:val="en-US"/>
        </w:rPr>
        <w:t xml:space="preserve"> Inc. received a response </w:t>
      </w:r>
      <w:r w:rsidR="00065F04">
        <w:rPr>
          <w:lang w:val="en-US"/>
        </w:rPr>
        <w:t>on Friday after writing</w:t>
      </w:r>
      <w:r w:rsidR="00CA5F1E">
        <w:rPr>
          <w:lang w:val="en-US"/>
        </w:rPr>
        <w:t xml:space="preserve"> to</w:t>
      </w:r>
      <w:r>
        <w:rPr>
          <w:lang w:val="en-US"/>
        </w:rPr>
        <w:t xml:space="preserve"> the Council</w:t>
      </w:r>
      <w:r w:rsidR="00065F04">
        <w:rPr>
          <w:lang w:val="en-US"/>
        </w:rPr>
        <w:t xml:space="preserve"> on Thursday</w:t>
      </w:r>
      <w:r>
        <w:rPr>
          <w:lang w:val="en-US"/>
        </w:rPr>
        <w:t xml:space="preserve">. </w:t>
      </w:r>
    </w:p>
    <w:p w:rsidR="00A709AE" w:rsidRDefault="00A709AE" w:rsidP="003F082F">
      <w:pPr>
        <w:jc w:val="both"/>
        <w:rPr>
          <w:lang w:val="en-US"/>
        </w:rPr>
      </w:pPr>
      <w:r>
        <w:rPr>
          <w:lang w:val="en-US"/>
        </w:rPr>
        <w:t>“</w:t>
      </w:r>
      <w:proofErr w:type="spellStart"/>
      <w:r w:rsidRPr="00A709AE">
        <w:t>Rotorua</w:t>
      </w:r>
      <w:proofErr w:type="spellEnd"/>
      <w:r w:rsidRPr="00A709AE">
        <w:t xml:space="preserve"> Lakes Council (</w:t>
      </w:r>
      <w:r w:rsidRPr="00A709AE">
        <w:rPr>
          <w:b/>
          <w:bCs/>
        </w:rPr>
        <w:t>RLC</w:t>
      </w:r>
      <w:r w:rsidRPr="00A709AE">
        <w:t>) acknowledges the concerns your clients have raised in relation to</w:t>
      </w:r>
      <w:r w:rsidRPr="00A709AE">
        <w:br/>
        <w:t xml:space="preserve">notification regarding </w:t>
      </w:r>
      <w:proofErr w:type="spellStart"/>
      <w:r w:rsidRPr="00A709AE">
        <w:t>Kāinga</w:t>
      </w:r>
      <w:proofErr w:type="spellEnd"/>
      <w:r w:rsidRPr="00A709AE">
        <w:t xml:space="preserve"> </w:t>
      </w:r>
      <w:proofErr w:type="spellStart"/>
      <w:r w:rsidRPr="00A709AE">
        <w:t>Ora’s</w:t>
      </w:r>
      <w:proofErr w:type="spellEnd"/>
      <w:r w:rsidRPr="00A709AE">
        <w:t xml:space="preserve"> resource consent for transitional housing </w:t>
      </w:r>
      <w:r w:rsidR="002306E2">
        <w:t>[</w:t>
      </w:r>
      <w:r w:rsidR="002306E2" w:rsidRPr="002306E2">
        <w:rPr>
          <w:b/>
          <w:lang w:val="en-US"/>
        </w:rPr>
        <w:t>Boulevard Motel</w:t>
      </w:r>
      <w:r w:rsidR="002306E2">
        <w:rPr>
          <w:lang w:val="en-US"/>
        </w:rPr>
        <w:t xml:space="preserve">] </w:t>
      </w:r>
      <w:r w:rsidR="002306E2">
        <w:t xml:space="preserve">and the six </w:t>
      </w:r>
      <w:r w:rsidRPr="00A709AE">
        <w:t>resource consent applications for emergency housing lodged by the Ministry for</w:t>
      </w:r>
      <w:r w:rsidR="002306E2">
        <w:t xml:space="preserve"> Housing and</w:t>
      </w:r>
      <w:r w:rsidR="002306E2">
        <w:br/>
        <w:t>Urban Development</w:t>
      </w:r>
      <w:r w:rsidRPr="00A709AE">
        <w:t>.</w:t>
      </w:r>
      <w:r>
        <w:t>”</w:t>
      </w:r>
    </w:p>
    <w:p w:rsidR="00065F04" w:rsidRDefault="006B37A8" w:rsidP="003F082F">
      <w:pPr>
        <w:jc w:val="both"/>
        <w:rPr>
          <w:lang w:val="en-US"/>
        </w:rPr>
      </w:pPr>
      <w:r>
        <w:rPr>
          <w:lang w:val="en-US"/>
        </w:rPr>
        <w:t>R</w:t>
      </w:r>
      <w:r w:rsidR="00CA5F1E">
        <w:rPr>
          <w:lang w:val="en-US"/>
        </w:rPr>
        <w:t xml:space="preserve">estore </w:t>
      </w:r>
      <w:proofErr w:type="spellStart"/>
      <w:r w:rsidR="00CA5F1E">
        <w:rPr>
          <w:lang w:val="en-US"/>
        </w:rPr>
        <w:t>Rotorua</w:t>
      </w:r>
      <w:proofErr w:type="spellEnd"/>
      <w:r>
        <w:rPr>
          <w:lang w:val="en-US"/>
        </w:rPr>
        <w:t xml:space="preserve"> Inc.</w:t>
      </w:r>
      <w:r w:rsidR="00A709AE">
        <w:rPr>
          <w:lang w:val="en-US"/>
        </w:rPr>
        <w:t xml:space="preserve"> requested the Council to refer the remaining 6 applications to an independent commission panel so that the </w:t>
      </w:r>
      <w:r w:rsidR="00CA5F1E">
        <w:rPr>
          <w:lang w:val="en-US"/>
        </w:rPr>
        <w:t xml:space="preserve">applications could be </w:t>
      </w:r>
      <w:r w:rsidR="00CA5F1E" w:rsidRPr="00AE3561">
        <w:rPr>
          <w:b/>
          <w:lang w:val="en-US"/>
        </w:rPr>
        <w:t>assessed together</w:t>
      </w:r>
      <w:r w:rsidR="00CA5F1E">
        <w:rPr>
          <w:lang w:val="en-US"/>
        </w:rPr>
        <w:t xml:space="preserve">, in a fair and impartial manner, where community views on the consents could be heard.  </w:t>
      </w:r>
      <w:r w:rsidR="00065F04">
        <w:rPr>
          <w:lang w:val="en-US"/>
        </w:rPr>
        <w:t>This includes a hearing on whether or not the consent should be notified.</w:t>
      </w:r>
    </w:p>
    <w:p w:rsidR="00A709AE" w:rsidRDefault="00065F04" w:rsidP="003F082F">
      <w:pPr>
        <w:jc w:val="both"/>
        <w:rPr>
          <w:lang w:val="en-US"/>
        </w:rPr>
      </w:pPr>
      <w:r>
        <w:rPr>
          <w:lang w:val="en-US"/>
        </w:rPr>
        <w:t>“These applications and the Boulevard Resource consent that has been granted are all within a 2 km radius so how can decisions about environmental effects not be considered cumulatively? That makes no sense.”</w:t>
      </w:r>
    </w:p>
    <w:p w:rsidR="00CA5F1E" w:rsidRDefault="003F082F" w:rsidP="003F082F">
      <w:pPr>
        <w:jc w:val="both"/>
        <w:rPr>
          <w:lang w:val="en-US"/>
        </w:rPr>
      </w:pPr>
      <w:r>
        <w:rPr>
          <w:lang w:val="en-US"/>
        </w:rPr>
        <w:t xml:space="preserve">“Restore </w:t>
      </w:r>
      <w:proofErr w:type="spellStart"/>
      <w:r>
        <w:rPr>
          <w:lang w:val="en-US"/>
        </w:rPr>
        <w:t>Rotorua</w:t>
      </w:r>
      <w:proofErr w:type="spellEnd"/>
      <w:r>
        <w:rPr>
          <w:lang w:val="en-US"/>
        </w:rPr>
        <w:t xml:space="preserve"> also asked </w:t>
      </w:r>
      <w:r w:rsidRPr="00F1472C">
        <w:t>that</w:t>
      </w:r>
      <w:r w:rsidR="00F1472C" w:rsidRPr="00F1472C">
        <w:t xml:space="preserve"> all six (6) consents ought to be given to an</w:t>
      </w:r>
      <w:r w:rsidR="00F1472C" w:rsidRPr="00F1472C">
        <w:br/>
        <w:t>independent commissioner to determine the issue of notification. This provides</w:t>
      </w:r>
      <w:r w:rsidR="00F1472C" w:rsidRPr="00F1472C">
        <w:br/>
        <w:t>assurance to our client that a neutral and objective expert is assessing the applications</w:t>
      </w:r>
      <w:r w:rsidR="00F1472C">
        <w:t>.”</w:t>
      </w:r>
    </w:p>
    <w:p w:rsidR="00CA5F1E" w:rsidRDefault="00065F04" w:rsidP="003F082F">
      <w:pPr>
        <w:jc w:val="both"/>
        <w:rPr>
          <w:lang w:val="en-US"/>
        </w:rPr>
      </w:pPr>
      <w:r>
        <w:rPr>
          <w:lang w:val="en-US"/>
        </w:rPr>
        <w:t xml:space="preserve">The Council has now said that </w:t>
      </w:r>
      <w:r w:rsidDel="00065F04">
        <w:rPr>
          <w:lang w:val="en-US"/>
        </w:rPr>
        <w:t xml:space="preserve"> </w:t>
      </w:r>
      <w:r w:rsidR="00CA5F1E">
        <w:rPr>
          <w:lang w:val="en-US"/>
        </w:rPr>
        <w:t>“</w:t>
      </w:r>
      <w:r w:rsidR="006B37A8" w:rsidRPr="006B37A8">
        <w:rPr>
          <w:lang w:val="en-US"/>
        </w:rPr>
        <w:t>RLC is proceeding to engage and appoint</w:t>
      </w:r>
      <w:r w:rsidR="006B37A8">
        <w:rPr>
          <w:lang w:val="en-US"/>
        </w:rPr>
        <w:t xml:space="preserve"> </w:t>
      </w:r>
      <w:r w:rsidR="006B37A8" w:rsidRPr="006B37A8">
        <w:rPr>
          <w:lang w:val="en-US"/>
        </w:rPr>
        <w:t>independent hearings commissioners with appropri</w:t>
      </w:r>
      <w:r w:rsidR="006B37A8">
        <w:rPr>
          <w:lang w:val="en-US"/>
        </w:rPr>
        <w:t xml:space="preserve">ate delegated authority to make </w:t>
      </w:r>
      <w:r w:rsidR="006B37A8" w:rsidRPr="006B37A8">
        <w:rPr>
          <w:lang w:val="en-US"/>
        </w:rPr>
        <w:t>decisions on behalf of RLC as the consent authority on:</w:t>
      </w:r>
    </w:p>
    <w:p w:rsidR="006B37A8" w:rsidRPr="006B37A8" w:rsidRDefault="006B37A8" w:rsidP="003F082F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Style w:val="fontstyle01"/>
        </w:rPr>
        <w:t>The appropriate notification process to apply to each application.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RLC proposes to give the commissioners delegated authority to conduct 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notification hearing to assist their decision making on the appropriate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notification process for each of the six applications; and</w:t>
      </w:r>
    </w:p>
    <w:p w:rsidR="006B37A8" w:rsidRPr="006B37A8" w:rsidRDefault="006B37A8" w:rsidP="003F082F">
      <w:pPr>
        <w:pStyle w:val="ListParagraph"/>
        <w:numPr>
          <w:ilvl w:val="0"/>
          <w:numId w:val="1"/>
        </w:numPr>
        <w:jc w:val="both"/>
        <w:rPr>
          <w:rStyle w:val="fontstyle01"/>
          <w:rFonts w:asciiTheme="minorHAnsi" w:hAnsiTheme="minorHAnsi" w:cstheme="minorBidi"/>
          <w:color w:val="auto"/>
          <w:lang w:val="en-US"/>
        </w:rPr>
      </w:pPr>
      <w:r>
        <w:rPr>
          <w:rStyle w:val="fontstyle01"/>
        </w:rPr>
        <w:t>The subsequent substantive decision to grant or decline each application.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Again, RLC proposes to give the commissioners delegated authority to exercise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all relevant RLC functions as a consent authority under the RMA including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directing appropriate pre-hearing meetings, mediation and commissioning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reports and conducting hearings for any application that is limited or publicly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notified for submissions (or where a hearing is otherwise requested by MHUD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for any application that is non-notified).”</w:t>
      </w:r>
    </w:p>
    <w:p w:rsidR="006B37A8" w:rsidRDefault="006B37A8" w:rsidP="003F082F">
      <w:pPr>
        <w:jc w:val="both"/>
        <w:rPr>
          <w:lang w:val="en-US"/>
        </w:rPr>
      </w:pPr>
      <w:r>
        <w:rPr>
          <w:lang w:val="en-US"/>
        </w:rPr>
        <w:t xml:space="preserve">The Council </w:t>
      </w:r>
      <w:r w:rsidR="003F082F">
        <w:rPr>
          <w:lang w:val="en-US"/>
        </w:rPr>
        <w:t>confirmed</w:t>
      </w:r>
      <w:r>
        <w:rPr>
          <w:lang w:val="en-US"/>
        </w:rPr>
        <w:t xml:space="preserve"> that they </w:t>
      </w:r>
      <w:r w:rsidR="00065F04">
        <w:rPr>
          <w:lang w:val="en-US"/>
        </w:rPr>
        <w:t>have</w:t>
      </w:r>
      <w:r>
        <w:rPr>
          <w:lang w:val="en-US"/>
        </w:rPr>
        <w:t xml:space="preserve"> yet to make a decision of whether to notify the six MHUD resource consent applications and has requested further information from MHUD. </w:t>
      </w:r>
    </w:p>
    <w:p w:rsidR="006B37A8" w:rsidRDefault="00065F04" w:rsidP="003F082F">
      <w:pPr>
        <w:jc w:val="both"/>
        <w:rPr>
          <w:lang w:val="en-US"/>
        </w:rPr>
      </w:pPr>
      <w:r>
        <w:rPr>
          <w:lang w:val="en-US"/>
        </w:rPr>
        <w:t>“The</w:t>
      </w:r>
      <w:r w:rsidR="006B37A8">
        <w:rPr>
          <w:lang w:val="en-US"/>
        </w:rPr>
        <w:t xml:space="preserve"> battle</w:t>
      </w:r>
      <w:r>
        <w:rPr>
          <w:lang w:val="en-US"/>
        </w:rPr>
        <w:t xml:space="preserve"> is not over</w:t>
      </w:r>
      <w:r w:rsidR="006B37A8">
        <w:rPr>
          <w:lang w:val="en-US"/>
        </w:rPr>
        <w:t xml:space="preserve"> to stop </w:t>
      </w:r>
      <w:proofErr w:type="spellStart"/>
      <w:r w:rsidR="006B37A8">
        <w:rPr>
          <w:lang w:val="en-US"/>
        </w:rPr>
        <w:t>Rotorua</w:t>
      </w:r>
      <w:proofErr w:type="spellEnd"/>
      <w:r w:rsidR="006B37A8">
        <w:rPr>
          <w:lang w:val="en-US"/>
        </w:rPr>
        <w:t xml:space="preserve"> city </w:t>
      </w:r>
      <w:proofErr w:type="spellStart"/>
      <w:r w:rsidR="006B37A8">
        <w:rPr>
          <w:lang w:val="en-US"/>
        </w:rPr>
        <w:t>centre</w:t>
      </w:r>
      <w:proofErr w:type="spellEnd"/>
      <w:r w:rsidR="006B37A8">
        <w:rPr>
          <w:lang w:val="en-US"/>
        </w:rPr>
        <w:t xml:space="preserve"> from becoming an emergency and transitional housing dumping ground. </w:t>
      </w:r>
      <w:r>
        <w:rPr>
          <w:lang w:val="en-US"/>
        </w:rPr>
        <w:t>We will be participating in the hearings</w:t>
      </w:r>
      <w:r w:rsidR="006B37A8">
        <w:rPr>
          <w:lang w:val="en-US"/>
        </w:rPr>
        <w:t xml:space="preserve"> to protect the economy and character of our city</w:t>
      </w:r>
      <w:r w:rsidR="003F082F">
        <w:rPr>
          <w:lang w:val="en-US"/>
        </w:rPr>
        <w:t>, and ensure emergency tenants are properly housed</w:t>
      </w:r>
      <w:r w:rsidR="006B37A8">
        <w:rPr>
          <w:lang w:val="en-US"/>
        </w:rPr>
        <w:t>.”</w:t>
      </w:r>
    </w:p>
    <w:p w:rsidR="002306E2" w:rsidRDefault="002306E2" w:rsidP="003F082F">
      <w:pPr>
        <w:jc w:val="both"/>
        <w:rPr>
          <w:lang w:val="en-US"/>
        </w:rPr>
      </w:pPr>
    </w:p>
    <w:p w:rsidR="002306E2" w:rsidRPr="00FE6C20" w:rsidRDefault="002306E2" w:rsidP="003F082F">
      <w:pPr>
        <w:pStyle w:val="ListNumber"/>
        <w:numPr>
          <w:ilvl w:val="0"/>
          <w:numId w:val="0"/>
        </w:numPr>
        <w:ind w:left="360"/>
        <w:jc w:val="both"/>
        <w:rPr>
          <w:b/>
        </w:rPr>
      </w:pPr>
      <w:r w:rsidRPr="00FE6C20">
        <w:rPr>
          <w:b/>
        </w:rPr>
        <w:t xml:space="preserve">Trevor </w:t>
      </w:r>
      <w:proofErr w:type="spellStart"/>
      <w:r w:rsidRPr="00FE6C20">
        <w:rPr>
          <w:b/>
        </w:rPr>
        <w:t>Newbrook</w:t>
      </w:r>
      <w:proofErr w:type="spellEnd"/>
    </w:p>
    <w:p w:rsidR="002306E2" w:rsidRPr="00FE6C20" w:rsidRDefault="002306E2" w:rsidP="003F082F">
      <w:pPr>
        <w:pStyle w:val="ListNumber"/>
        <w:numPr>
          <w:ilvl w:val="0"/>
          <w:numId w:val="0"/>
        </w:numPr>
        <w:ind w:left="360"/>
        <w:jc w:val="both"/>
        <w:rPr>
          <w:b/>
        </w:rPr>
      </w:pPr>
      <w:r w:rsidRPr="00FE6C20">
        <w:rPr>
          <w:b/>
        </w:rPr>
        <w:t xml:space="preserve">Chair of Restore </w:t>
      </w:r>
      <w:proofErr w:type="spellStart"/>
      <w:r w:rsidRPr="00FE6C20">
        <w:rPr>
          <w:b/>
        </w:rPr>
        <w:t>Rotorua</w:t>
      </w:r>
      <w:proofErr w:type="spellEnd"/>
      <w:r w:rsidRPr="00FE6C20">
        <w:rPr>
          <w:b/>
        </w:rPr>
        <w:t xml:space="preserve"> Incorporated</w:t>
      </w:r>
    </w:p>
    <w:p w:rsidR="002306E2" w:rsidRPr="00FE6C20" w:rsidRDefault="002306E2" w:rsidP="003F082F">
      <w:pPr>
        <w:pStyle w:val="ListNumber"/>
        <w:numPr>
          <w:ilvl w:val="0"/>
          <w:numId w:val="0"/>
        </w:numPr>
        <w:ind w:left="360"/>
        <w:jc w:val="both"/>
        <w:rPr>
          <w:b/>
        </w:rPr>
      </w:pPr>
      <w:r w:rsidRPr="00FE6C20">
        <w:rPr>
          <w:b/>
        </w:rPr>
        <w:t>For all enquiries, contact Trevor on 027 4778 571</w:t>
      </w:r>
    </w:p>
    <w:p w:rsidR="002306E2" w:rsidRPr="006B37A8" w:rsidRDefault="002306E2" w:rsidP="003F082F">
      <w:pPr>
        <w:jc w:val="both"/>
        <w:rPr>
          <w:lang w:val="en-US"/>
        </w:rPr>
      </w:pPr>
    </w:p>
    <w:sectPr w:rsidR="002306E2" w:rsidRPr="006B3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0E3B"/>
    <w:multiLevelType w:val="hybridMultilevel"/>
    <w:tmpl w:val="27F8CD76"/>
    <w:lvl w:ilvl="0" w:tplc="AB00A0DE">
      <w:start w:val="1"/>
      <w:numFmt w:val="decimal"/>
      <w:lvlText w:val="%1."/>
      <w:lvlJc w:val="left"/>
      <w:pPr>
        <w:ind w:left="1080" w:hanging="720"/>
      </w:pPr>
      <w:rPr>
        <w:rFonts w:ascii="Calibri" w:eastAsiaTheme="minorHAnsi" w:hAnsi="Calibri" w:cs="Calibr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E209B"/>
    <w:multiLevelType w:val="multilevel"/>
    <w:tmpl w:val="3A565F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pStyle w:val="ListNumber6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ListNumber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ListNumber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ListNumber9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E"/>
    <w:rsid w:val="00065F04"/>
    <w:rsid w:val="002306E2"/>
    <w:rsid w:val="003F082F"/>
    <w:rsid w:val="00440619"/>
    <w:rsid w:val="006A090A"/>
    <w:rsid w:val="006B37A8"/>
    <w:rsid w:val="008073C6"/>
    <w:rsid w:val="008E3AA0"/>
    <w:rsid w:val="009B5DE8"/>
    <w:rsid w:val="00A709AE"/>
    <w:rsid w:val="00AE3561"/>
    <w:rsid w:val="00CA5F1E"/>
    <w:rsid w:val="00CC732D"/>
    <w:rsid w:val="00DB65D8"/>
    <w:rsid w:val="00F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DA67"/>
  <w15:chartTrackingRefBased/>
  <w15:docId w15:val="{19AF478C-684A-4FF0-89B3-917EB8E4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20" w:unhideWhenUsed="1"/>
    <w:lsdException w:name="List Number 4" w:semiHidden="1" w:uiPriority="20" w:unhideWhenUsed="1"/>
    <w:lsdException w:name="List Number 5" w:semiHidden="1" w:uiPriority="2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A8"/>
    <w:pPr>
      <w:ind w:left="720"/>
      <w:contextualSpacing/>
    </w:pPr>
  </w:style>
  <w:style w:type="character" w:customStyle="1" w:styleId="fontstyle01">
    <w:name w:val="fontstyle01"/>
    <w:basedOn w:val="DefaultParagraphFont"/>
    <w:rsid w:val="006B37A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0A"/>
    <w:rPr>
      <w:rFonts w:ascii="Segoe UI" w:hAnsi="Segoe UI" w:cs="Segoe UI"/>
      <w:sz w:val="18"/>
      <w:szCs w:val="18"/>
    </w:rPr>
  </w:style>
  <w:style w:type="paragraph" w:styleId="ListNumber">
    <w:name w:val="List Number"/>
    <w:uiPriority w:val="20"/>
    <w:qFormat/>
    <w:rsid w:val="002306E2"/>
    <w:pPr>
      <w:numPr>
        <w:numId w:val="2"/>
      </w:numPr>
      <w:spacing w:after="120" w:line="240" w:lineRule="auto"/>
    </w:pPr>
    <w:rPr>
      <w:rFonts w:eastAsiaTheme="minorEastAsia"/>
      <w:lang w:val="en-US" w:eastAsia="ja-JP"/>
    </w:rPr>
  </w:style>
  <w:style w:type="paragraph" w:styleId="ListNumber3">
    <w:name w:val="List Number 3"/>
    <w:basedOn w:val="ListBullet3"/>
    <w:uiPriority w:val="20"/>
    <w:rsid w:val="002306E2"/>
    <w:pPr>
      <w:numPr>
        <w:ilvl w:val="2"/>
        <w:numId w:val="2"/>
      </w:numPr>
      <w:tabs>
        <w:tab w:val="num" w:pos="360"/>
      </w:tabs>
      <w:spacing w:after="120" w:line="240" w:lineRule="auto"/>
      <w:ind w:left="926" w:hanging="180"/>
      <w:contextualSpacing w:val="0"/>
    </w:pPr>
    <w:rPr>
      <w:rFonts w:eastAsiaTheme="minorEastAsia"/>
      <w:lang w:val="en-US" w:eastAsia="ja-JP"/>
    </w:rPr>
  </w:style>
  <w:style w:type="paragraph" w:styleId="ListNumber4">
    <w:name w:val="List Number 4"/>
    <w:basedOn w:val="ListNumber3"/>
    <w:uiPriority w:val="20"/>
    <w:semiHidden/>
    <w:unhideWhenUsed/>
    <w:rsid w:val="002306E2"/>
    <w:pPr>
      <w:numPr>
        <w:ilvl w:val="3"/>
      </w:numPr>
      <w:tabs>
        <w:tab w:val="num" w:pos="360"/>
      </w:tabs>
      <w:ind w:left="2880"/>
    </w:pPr>
  </w:style>
  <w:style w:type="paragraph" w:styleId="ListNumber5">
    <w:name w:val="List Number 5"/>
    <w:basedOn w:val="ListNumber4"/>
    <w:uiPriority w:val="20"/>
    <w:semiHidden/>
    <w:unhideWhenUsed/>
    <w:rsid w:val="002306E2"/>
    <w:pPr>
      <w:numPr>
        <w:ilvl w:val="4"/>
      </w:numPr>
      <w:tabs>
        <w:tab w:val="num" w:pos="360"/>
      </w:tabs>
      <w:ind w:left="3600"/>
    </w:pPr>
  </w:style>
  <w:style w:type="paragraph" w:customStyle="1" w:styleId="ListNumber6">
    <w:name w:val="List Number 6"/>
    <w:basedOn w:val="ListNumber5"/>
    <w:uiPriority w:val="20"/>
    <w:semiHidden/>
    <w:unhideWhenUsed/>
    <w:rsid w:val="002306E2"/>
    <w:pPr>
      <w:numPr>
        <w:ilvl w:val="5"/>
      </w:numPr>
      <w:tabs>
        <w:tab w:val="num" w:pos="360"/>
      </w:tabs>
      <w:ind w:left="4320" w:hanging="180"/>
    </w:pPr>
  </w:style>
  <w:style w:type="paragraph" w:customStyle="1" w:styleId="ListNumber7">
    <w:name w:val="List Number 7"/>
    <w:basedOn w:val="ListNumber6"/>
    <w:uiPriority w:val="20"/>
    <w:semiHidden/>
    <w:unhideWhenUsed/>
    <w:rsid w:val="002306E2"/>
    <w:pPr>
      <w:numPr>
        <w:ilvl w:val="6"/>
      </w:numPr>
      <w:tabs>
        <w:tab w:val="num" w:pos="360"/>
      </w:tabs>
      <w:ind w:left="5040"/>
    </w:pPr>
  </w:style>
  <w:style w:type="paragraph" w:customStyle="1" w:styleId="ListNumber8">
    <w:name w:val="List Number 8"/>
    <w:basedOn w:val="ListNumber7"/>
    <w:uiPriority w:val="20"/>
    <w:semiHidden/>
    <w:unhideWhenUsed/>
    <w:rsid w:val="002306E2"/>
    <w:pPr>
      <w:numPr>
        <w:ilvl w:val="7"/>
      </w:numPr>
      <w:tabs>
        <w:tab w:val="num" w:pos="360"/>
      </w:tabs>
      <w:ind w:left="5760"/>
    </w:pPr>
  </w:style>
  <w:style w:type="paragraph" w:customStyle="1" w:styleId="ListNumber9">
    <w:name w:val="List Number 9"/>
    <w:basedOn w:val="ListNumber8"/>
    <w:uiPriority w:val="20"/>
    <w:semiHidden/>
    <w:unhideWhenUsed/>
    <w:rsid w:val="002306E2"/>
    <w:pPr>
      <w:numPr>
        <w:ilvl w:val="8"/>
      </w:numPr>
      <w:tabs>
        <w:tab w:val="num" w:pos="360"/>
      </w:tabs>
      <w:ind w:left="6480" w:hanging="180"/>
    </w:pPr>
  </w:style>
  <w:style w:type="paragraph" w:styleId="ListBullet3">
    <w:name w:val="List Bullet 3"/>
    <w:basedOn w:val="Normal"/>
    <w:uiPriority w:val="99"/>
    <w:semiHidden/>
    <w:unhideWhenUsed/>
    <w:rsid w:val="002306E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Cutfield</dc:creator>
  <cp:keywords/>
  <dc:description/>
  <cp:lastModifiedBy>Holly Cutfield</cp:lastModifiedBy>
  <cp:revision>2</cp:revision>
  <cp:lastPrinted>2021-10-10T23:24:00Z</cp:lastPrinted>
  <dcterms:created xsi:type="dcterms:W3CDTF">2021-10-08T04:33:00Z</dcterms:created>
  <dcterms:modified xsi:type="dcterms:W3CDTF">2021-10-08T05:08:00Z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HONEBOOK">
    <vt:lpwstr>Holmes, Ryan</vt:lpwstr>
  </property>
  <property fmtid="{D5CDD505-2E9C-101B-9397-08002B2CF9AE}" pid="3" name="DM_MATTER">
    <vt:lpwstr>RES100-01</vt:lpwstr>
  </property>
  <property fmtid="{D5CDD505-2E9C-101B-9397-08002B2CF9AE}" pid="4" name="DM_DESCRIPTION">
    <vt:lpwstr>Restore Rotorua press release 3 11-10-21</vt:lpwstr>
  </property>
  <property fmtid="{D5CDD505-2E9C-101B-9397-08002B2CF9AE}" pid="5" name="DM_AUTHOR">
    <vt:lpwstr>MIC</vt:lpwstr>
  </property>
  <property fmtid="{D5CDD505-2E9C-101B-9397-08002B2CF9AE}" pid="6" name="DM_OPERATOR">
    <vt:lpwstr>HCU</vt:lpwstr>
  </property>
  <property fmtid="{D5CDD505-2E9C-101B-9397-08002B2CF9AE}" pid="7" name="DM_CLIENT">
    <vt:lpwstr>RES100</vt:lpwstr>
  </property>
  <property fmtid="{D5CDD505-2E9C-101B-9397-08002B2CF9AE}" pid="8" name="DM_AFTYDOCID">
    <vt:i4>11068599</vt:i4>
  </property>
  <property fmtid="{D5CDD505-2E9C-101B-9397-08002B2CF9AE}" pid="9" name="DM_VERSION">
    <vt:i4>1</vt:i4>
  </property>
  <property fmtid="{D5CDD505-2E9C-101B-9397-08002B2CF9AE}" pid="10" name="DM_PROMPTFORVERSION">
    <vt:i4>0</vt:i4>
  </property>
</Properties>
</file>